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632FEF0D"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4D3AF5">
        <w:rPr>
          <w:rFonts w:ascii="Arial" w:hAnsi="Arial" w:cs="Arial"/>
          <w:sz w:val="18"/>
          <w:szCs w:val="18"/>
        </w:rPr>
        <w:t>$50.00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4D3AF5">
        <w:rPr>
          <w:rFonts w:cs="Arial"/>
        </w:rPr>
      </w:r>
      <w:r w:rsidR="004D3AF5">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4D3AF5">
        <w:rPr>
          <w:rFonts w:cs="Arial"/>
        </w:rPr>
      </w:r>
      <w:r w:rsidR="004D3AF5">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D3AF5">
        <w:rPr>
          <w:rFonts w:ascii="Arial" w:hAnsi="Arial" w:cs="Arial"/>
        </w:rPr>
      </w:r>
      <w:r w:rsidR="004D3AF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4D3AF5">
              <w:rPr>
                <w:rFonts w:ascii="Arial" w:hAnsi="Arial" w:cs="Arial"/>
              </w:rPr>
            </w:r>
            <w:r w:rsidR="004D3AF5">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5757EAE6"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004D3AF5">
        <w:rPr>
          <w:rFonts w:ascii="Arial" w:hAnsi="Arial" w:cs="Arial"/>
          <w:sz w:val="18"/>
          <w:szCs w:val="18"/>
        </w:rPr>
        <w:t xml:space="preserve"> </w:t>
      </w:r>
      <w:r w:rsidRPr="004D3AF5">
        <w:rPr>
          <w:rFonts w:ascii="Arial" w:hAnsi="Arial" w:cs="Arial"/>
          <w:sz w:val="18"/>
          <w:szCs w:val="18"/>
        </w:rPr>
        <w:t xml:space="preserve">cashier’s check, money order or personal check made payable to the </w:t>
      </w:r>
      <w:r w:rsidRPr="004D3AF5">
        <w:rPr>
          <w:rFonts w:ascii="Arial" w:hAnsi="Arial" w:cs="Arial"/>
          <w:b/>
          <w:sz w:val="18"/>
          <w:szCs w:val="18"/>
          <w:u w:val="single"/>
        </w:rPr>
        <w:t>National Park Service</w:t>
      </w:r>
      <w:r w:rsidRPr="00326EBC">
        <w:rPr>
          <w:rFonts w:ascii="Arial" w:hAnsi="Arial" w:cs="Arial"/>
          <w:sz w:val="18"/>
          <w:szCs w:val="18"/>
        </w:rPr>
        <w:t xml:space="preserve"> to</w:t>
      </w:r>
      <w:r w:rsidR="004D3AF5">
        <w:rPr>
          <w:rFonts w:ascii="Arial" w:hAnsi="Arial" w:cs="Arial"/>
          <w:sz w:val="18"/>
          <w:szCs w:val="18"/>
        </w:rPr>
        <w:t xml:space="preserve"> FONE – SUP – CFSP </w:t>
      </w:r>
      <w:r w:rsidRPr="00326EBC">
        <w:rPr>
          <w:rFonts w:ascii="Arial" w:hAnsi="Arial" w:cs="Arial"/>
          <w:sz w:val="18"/>
          <w:szCs w:val="18"/>
        </w:rPr>
        <w:t xml:space="preserve">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4CB0006" w:rsidR="00111BD8" w:rsidRPr="003A4758" w:rsidRDefault="004D3AF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Fort Necessity National Battlefield</w:t>
          </w:r>
        </w:p>
        <w:p w14:paraId="6D098C7E" w14:textId="6A091418" w:rsidR="00111BD8" w:rsidRPr="003A4758" w:rsidRDefault="004D3AF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 Washington Parkway</w:t>
          </w:r>
        </w:p>
        <w:p w14:paraId="225FBFA0" w14:textId="05FF1D1D" w:rsidR="00111BD8" w:rsidRPr="003A4758" w:rsidRDefault="004D3AF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Farmington, PA 15437</w:t>
          </w:r>
        </w:p>
        <w:p w14:paraId="2D97FFF9" w14:textId="302B0D34" w:rsidR="00111BD8" w:rsidRPr="002615D8" w:rsidRDefault="004D3AF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(724)329-5805</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3AF5"/>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1741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Buechel, John P</cp:lastModifiedBy>
  <cp:revision>10</cp:revision>
  <cp:lastPrinted>2015-06-04T18:12:00Z</cp:lastPrinted>
  <dcterms:created xsi:type="dcterms:W3CDTF">2021-09-02T18:49:00Z</dcterms:created>
  <dcterms:modified xsi:type="dcterms:W3CDTF">2022-06-08T14:49:00Z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